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B8" w:rsidRDefault="001A13C6"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B8" w:rsidRDefault="00870CB8"/>
    <w:p w:rsidR="00870CB8" w:rsidRPr="00D710D5" w:rsidRDefault="00870CB8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Pr="00D710D5">
        <w:rPr>
          <w:sz w:val="40"/>
          <w:szCs w:val="40"/>
        </w:rPr>
        <w:t xml:space="preserve"> School</w:t>
      </w:r>
    </w:p>
    <w:p w:rsidR="00870CB8" w:rsidRDefault="00870CB8"/>
    <w:p w:rsidR="00870CB8" w:rsidRDefault="00870CB8">
      <w:pPr>
        <w:rPr>
          <w:b/>
        </w:rPr>
      </w:pPr>
      <w:r w:rsidRPr="008C7CC5">
        <w:rPr>
          <w:b/>
        </w:rPr>
        <w:t>Star Criteria</w:t>
      </w:r>
    </w:p>
    <w:p w:rsidR="00870CB8" w:rsidRDefault="00870CB8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70CB8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C07" w:rsidRPr="00501C07" w:rsidRDefault="00355F0F" w:rsidP="00355F0F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55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Conduct a waste </w:t>
            </w:r>
            <w:r w:rsidR="00B131A7">
              <w:rPr>
                <w:rFonts w:ascii="Arial" w:hAnsi="Arial" w:cs="Arial"/>
                <w:b/>
                <w:bCs/>
                <w:sz w:val="20"/>
                <w:szCs w:val="20"/>
              </w:rPr>
              <w:t>audit</w:t>
            </w:r>
            <w:r w:rsidR="009835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A1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07" w:rsidRPr="00501C07">
              <w:rPr>
                <w:rFonts w:ascii="Arial" w:hAnsi="Arial" w:cs="Arial"/>
                <w:sz w:val="20"/>
                <w:szCs w:val="20"/>
              </w:rPr>
              <w:t>The</w:t>
            </w:r>
            <w:r w:rsidR="00402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07" w:rsidRPr="00501C07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2F4B9C">
              <w:rPr>
                <w:rFonts w:ascii="Arial" w:hAnsi="Arial" w:cs="Arial"/>
                <w:sz w:val="20"/>
                <w:szCs w:val="20"/>
              </w:rPr>
              <w:t>has</w:t>
            </w:r>
            <w:r w:rsidR="00501C07" w:rsidRPr="00501C07">
              <w:rPr>
                <w:rFonts w:ascii="Arial" w:hAnsi="Arial" w:cs="Arial"/>
                <w:sz w:val="20"/>
                <w:szCs w:val="20"/>
              </w:rPr>
              <w:t xml:space="preserve"> conducted a waste </w:t>
            </w:r>
            <w:r w:rsidR="00172C62">
              <w:rPr>
                <w:rFonts w:ascii="Arial" w:hAnsi="Arial" w:cs="Arial"/>
                <w:sz w:val="20"/>
                <w:szCs w:val="20"/>
              </w:rPr>
              <w:t>audit</w:t>
            </w:r>
            <w:r w:rsidR="00501C07" w:rsidRPr="00501C07">
              <w:rPr>
                <w:rFonts w:ascii="Arial" w:hAnsi="Arial" w:cs="Arial"/>
                <w:sz w:val="20"/>
                <w:szCs w:val="20"/>
              </w:rPr>
              <w:t xml:space="preserve">. The waste </w:t>
            </w:r>
            <w:r w:rsidR="00172C62">
              <w:rPr>
                <w:rFonts w:ascii="Arial" w:hAnsi="Arial" w:cs="Arial"/>
                <w:sz w:val="20"/>
                <w:szCs w:val="20"/>
              </w:rPr>
              <w:t>audit</w:t>
            </w:r>
            <w:r w:rsidR="00501C07" w:rsidRPr="00501C07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172C62">
              <w:rPr>
                <w:rFonts w:ascii="Arial" w:hAnsi="Arial" w:cs="Arial"/>
                <w:sz w:val="20"/>
                <w:szCs w:val="20"/>
              </w:rPr>
              <w:t>s the average amount of waste going to landfill and the average amount that is recycled per year.</w:t>
            </w:r>
          </w:p>
          <w:p w:rsidR="00870CB8" w:rsidRPr="00501C07" w:rsidRDefault="00501C07" w:rsidP="00983585">
            <w:pPr>
              <w:suppressAutoHyphens/>
              <w:autoSpaceDE w:val="0"/>
              <w:autoSpaceDN w:val="0"/>
              <w:adjustRightInd w:val="0"/>
              <w:spacing w:before="57"/>
              <w:ind w:left="340"/>
              <w:textAlignment w:val="center"/>
              <w:rPr>
                <w:rFonts w:cs="Arial"/>
                <w:i/>
                <w:sz w:val="20"/>
                <w:lang w:val="en-AU"/>
              </w:rPr>
            </w:pPr>
            <w:r w:rsidRPr="00501C07">
              <w:rPr>
                <w:rFonts w:cs="Arial"/>
                <w:i/>
                <w:sz w:val="20"/>
                <w:lang w:val="en-AU"/>
              </w:rPr>
              <w:t>Evidence: Results of the Waste</w:t>
            </w:r>
            <w:r w:rsidR="00172C62">
              <w:rPr>
                <w:rFonts w:cs="Arial"/>
                <w:i/>
                <w:sz w:val="20"/>
                <w:lang w:val="en-AU"/>
              </w:rPr>
              <w:t xml:space="preserve"> </w:t>
            </w:r>
            <w:r w:rsidR="00EE11FD">
              <w:rPr>
                <w:rFonts w:cs="Arial"/>
                <w:i/>
                <w:sz w:val="20"/>
                <w:lang w:val="en-AU"/>
              </w:rPr>
              <w:t>Audit</w:t>
            </w:r>
            <w:r w:rsidRPr="00501C07">
              <w:rPr>
                <w:rFonts w:cs="Arial"/>
                <w:i/>
                <w:sz w:val="20"/>
                <w:lang w:val="en-AU"/>
              </w:rPr>
              <w:t>.</w:t>
            </w:r>
          </w:p>
        </w:tc>
      </w:tr>
      <w:tr w:rsidR="00870CB8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C07" w:rsidRPr="00501C07" w:rsidRDefault="00355F0F" w:rsidP="00355F0F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cs="Arial"/>
                <w:sz w:val="20"/>
                <w:lang w:val="en-AU"/>
              </w:rPr>
            </w:pPr>
            <w:r w:rsidRPr="00355F0F">
              <w:rPr>
                <w:rStyle w:val="Strong"/>
                <w:rFonts w:cs="Arial"/>
                <w:sz w:val="20"/>
              </w:rPr>
              <w:t>Waste avoidance policy</w:t>
            </w:r>
            <w:r w:rsidR="00983585">
              <w:rPr>
                <w:rStyle w:val="Strong"/>
                <w:rFonts w:cs="Arial"/>
                <w:sz w:val="20"/>
              </w:rPr>
              <w:t>.</w:t>
            </w:r>
            <w:r w:rsidRPr="00501C07">
              <w:rPr>
                <w:rFonts w:cs="Arial"/>
                <w:sz w:val="20"/>
                <w:lang w:val="en-AU"/>
              </w:rPr>
              <w:t xml:space="preserve"> </w:t>
            </w:r>
            <w:r w:rsidR="00501C07" w:rsidRPr="00501C07">
              <w:rPr>
                <w:rFonts w:cs="Arial"/>
                <w:sz w:val="20"/>
                <w:lang w:val="en-AU"/>
              </w:rPr>
              <w:t xml:space="preserve">The school </w:t>
            </w:r>
            <w:r w:rsidR="001A160A">
              <w:rPr>
                <w:rFonts w:cs="Arial"/>
                <w:sz w:val="20"/>
                <w:lang w:val="en-AU"/>
              </w:rPr>
              <w:t>has</w:t>
            </w:r>
            <w:r w:rsidR="00501C07" w:rsidRPr="00501C07">
              <w:rPr>
                <w:rFonts w:cs="Arial"/>
                <w:sz w:val="20"/>
                <w:lang w:val="en-AU"/>
              </w:rPr>
              <w:t xml:space="preserve"> developed a Waste Avoidance Policy that </w:t>
            </w:r>
            <w:r w:rsidR="00427DB1" w:rsidRPr="00427DB1">
              <w:rPr>
                <w:rFonts w:cs="Arial"/>
                <w:sz w:val="20"/>
                <w:u w:val="single"/>
                <w:lang w:val="en-AU"/>
              </w:rPr>
              <w:t>may</w:t>
            </w:r>
            <w:r w:rsidR="00427DB1">
              <w:rPr>
                <w:rFonts w:cs="Arial"/>
                <w:sz w:val="20"/>
                <w:lang w:val="en-AU"/>
              </w:rPr>
              <w:t xml:space="preserve"> </w:t>
            </w:r>
            <w:r w:rsidR="00501C07" w:rsidRPr="00501C07">
              <w:rPr>
                <w:rFonts w:cs="Arial"/>
                <w:sz w:val="20"/>
                <w:lang w:val="en-AU"/>
              </w:rPr>
              <w:t>include</w:t>
            </w:r>
            <w:r w:rsidR="00427DB1">
              <w:rPr>
                <w:rFonts w:cs="Arial"/>
                <w:sz w:val="20"/>
                <w:lang w:val="en-AU"/>
              </w:rPr>
              <w:t xml:space="preserve"> </w:t>
            </w:r>
            <w:r w:rsidR="00501C07" w:rsidRPr="00501C07">
              <w:rPr>
                <w:rFonts w:cs="Arial"/>
                <w:sz w:val="20"/>
                <w:lang w:val="en-AU"/>
              </w:rPr>
              <w:t xml:space="preserve">commitments and targets relating to:  </w:t>
            </w:r>
          </w:p>
          <w:tbl>
            <w:tblPr>
              <w:tblW w:w="0" w:type="auto"/>
              <w:tblInd w:w="7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6"/>
              <w:gridCol w:w="4084"/>
            </w:tblGrid>
            <w:tr w:rsidR="00501C07" w:rsidRPr="00501C07" w:rsidTr="00501C0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1"/>
              </w:trPr>
              <w:tc>
                <w:tcPr>
                  <w:tcW w:w="5386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01C07" w:rsidRPr="00501C07" w:rsidRDefault="00501C07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  <w:r w:rsidRPr="00501C07">
                    <w:rPr>
                      <w:rFonts w:cs="Arial"/>
                      <w:color w:val="000000"/>
                      <w:sz w:val="20"/>
                      <w:lang w:val="en-US"/>
                    </w:rPr>
                    <w:t>Sustainable purchasing</w:t>
                  </w:r>
                </w:p>
                <w:p w:rsidR="00501C07" w:rsidRPr="00501C07" w:rsidRDefault="00501C07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  <w:r w:rsidRPr="00501C07">
                    <w:rPr>
                      <w:rFonts w:cs="Arial"/>
                      <w:color w:val="000000"/>
                      <w:sz w:val="20"/>
                      <w:lang w:val="en-US"/>
                    </w:rPr>
                    <w:t xml:space="preserve">Canteen purchasing and waste management  </w:t>
                  </w:r>
                </w:p>
                <w:p w:rsidR="00501C07" w:rsidRPr="00501C07" w:rsidRDefault="00501C07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  <w:r w:rsidRPr="00501C07">
                    <w:rPr>
                      <w:rFonts w:cs="Arial"/>
                      <w:color w:val="000000"/>
                      <w:sz w:val="20"/>
                      <w:lang w:val="en-US"/>
                    </w:rPr>
                    <w:t>Low waste lunches (PS only)</w:t>
                  </w:r>
                </w:p>
              </w:tc>
              <w:tc>
                <w:tcPr>
                  <w:tcW w:w="4084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01C07" w:rsidRPr="00501C07" w:rsidRDefault="00501C07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  <w:r w:rsidRPr="00501C07">
                    <w:rPr>
                      <w:rFonts w:cs="Arial"/>
                      <w:color w:val="000000"/>
                      <w:sz w:val="20"/>
                      <w:lang w:val="en-US"/>
                    </w:rPr>
                    <w:t>Reducing paper usage</w:t>
                  </w:r>
                </w:p>
                <w:p w:rsidR="00501C07" w:rsidRPr="00501C07" w:rsidRDefault="00501C07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  <w:r w:rsidRPr="00501C07">
                    <w:rPr>
                      <w:rFonts w:cs="Arial"/>
                      <w:color w:val="000000"/>
                      <w:sz w:val="20"/>
                      <w:lang w:val="en-US"/>
                    </w:rPr>
                    <w:t>Electronic waste management</w:t>
                  </w:r>
                </w:p>
                <w:p w:rsidR="00501C07" w:rsidRPr="00501C07" w:rsidRDefault="00501C07" w:rsidP="00657432">
                  <w:pPr>
                    <w:suppressAutoHyphens/>
                    <w:autoSpaceDE w:val="0"/>
                    <w:autoSpaceDN w:val="0"/>
                    <w:adjustRightInd w:val="0"/>
                    <w:spacing w:after="57"/>
                    <w:ind w:left="340"/>
                    <w:textAlignment w:val="center"/>
                    <w:rPr>
                      <w:rFonts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870CB8" w:rsidRPr="00501C07" w:rsidRDefault="00501C07" w:rsidP="00983585">
            <w:pPr>
              <w:suppressAutoHyphens/>
              <w:autoSpaceDE w:val="0"/>
              <w:autoSpaceDN w:val="0"/>
              <w:adjustRightInd w:val="0"/>
              <w:spacing w:before="113" w:after="57"/>
              <w:ind w:left="340"/>
              <w:textAlignment w:val="center"/>
              <w:rPr>
                <w:rFonts w:cs="Arial"/>
                <w:i/>
                <w:iCs/>
                <w:color w:val="000000"/>
                <w:sz w:val="20"/>
                <w:lang w:val="en-US"/>
              </w:rPr>
            </w:pPr>
            <w:r w:rsidRPr="00501C07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Evidence:  A copy of the Waste Avoidance Policy.  </w:t>
            </w:r>
          </w:p>
        </w:tc>
      </w:tr>
      <w:tr w:rsidR="00501C07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C07" w:rsidRPr="00657432" w:rsidRDefault="00355F0F" w:rsidP="00355F0F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240"/>
              <w:textAlignment w:val="center"/>
              <w:rPr>
                <w:rFonts w:cs="Arial"/>
                <w:sz w:val="20"/>
                <w:lang w:val="en-AU"/>
              </w:rPr>
            </w:pPr>
            <w:r w:rsidRPr="00355F0F">
              <w:rPr>
                <w:rStyle w:val="Strong"/>
                <w:sz w:val="20"/>
                <w:lang w:val="en-US"/>
              </w:rPr>
              <w:t>Reduction in paper use</w:t>
            </w:r>
            <w:r w:rsidR="00983585">
              <w:rPr>
                <w:rStyle w:val="Strong"/>
                <w:sz w:val="20"/>
                <w:lang w:val="en-US"/>
              </w:rPr>
              <w:t>.</w:t>
            </w:r>
            <w:r w:rsidRPr="00501C07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131A7">
              <w:rPr>
                <w:rFonts w:cs="Arial"/>
                <w:color w:val="000000"/>
                <w:sz w:val="20"/>
                <w:lang w:val="en-US"/>
              </w:rPr>
              <w:t xml:space="preserve">The </w:t>
            </w:r>
            <w:r w:rsidR="00501C07" w:rsidRPr="00501C07">
              <w:rPr>
                <w:rFonts w:cs="Arial"/>
                <w:color w:val="000000"/>
                <w:sz w:val="20"/>
                <w:lang w:val="en-US"/>
              </w:rPr>
              <w:t xml:space="preserve">school </w:t>
            </w:r>
            <w:r w:rsidR="001A160A">
              <w:rPr>
                <w:rFonts w:cs="Arial"/>
                <w:color w:val="000000"/>
                <w:sz w:val="20"/>
                <w:lang w:val="en-US"/>
              </w:rPr>
              <w:t>has</w:t>
            </w:r>
            <w:r w:rsidR="00501C07" w:rsidRPr="00501C07">
              <w:rPr>
                <w:rFonts w:cs="Arial"/>
                <w:color w:val="000000"/>
                <w:sz w:val="20"/>
                <w:lang w:val="en-US"/>
              </w:rPr>
              <w:t xml:space="preserve"> implemented activities which result in a reduction in paper use. Activities could </w:t>
            </w:r>
            <w:r w:rsidR="00501C07" w:rsidRPr="00657432">
              <w:rPr>
                <w:rFonts w:cs="Arial"/>
                <w:sz w:val="20"/>
                <w:lang w:val="en-AU"/>
              </w:rPr>
              <w:t xml:space="preserve">include electronic newsletters or notes, reducing the number of exercise books per student, implementing double sided photocopying procedures, </w:t>
            </w:r>
            <w:r w:rsidR="00427DB1">
              <w:rPr>
                <w:rFonts w:cs="Arial"/>
                <w:sz w:val="20"/>
                <w:lang w:val="en-AU"/>
              </w:rPr>
              <w:t xml:space="preserve">re-using scrap paper </w:t>
            </w:r>
            <w:r w:rsidR="00501C07" w:rsidRPr="00657432">
              <w:rPr>
                <w:rFonts w:cs="Arial"/>
                <w:sz w:val="20"/>
                <w:lang w:val="en-AU"/>
              </w:rPr>
              <w:t>etc.</w:t>
            </w:r>
          </w:p>
          <w:p w:rsidR="00501C07" w:rsidRPr="00501C07" w:rsidRDefault="00501C07" w:rsidP="00983585">
            <w:pPr>
              <w:suppressAutoHyphens/>
              <w:autoSpaceDE w:val="0"/>
              <w:autoSpaceDN w:val="0"/>
              <w:adjustRightInd w:val="0"/>
              <w:spacing w:before="57"/>
              <w:ind w:left="340"/>
              <w:textAlignment w:val="center"/>
              <w:rPr>
                <w:rFonts w:cs="Arial"/>
                <w:i/>
                <w:iCs/>
                <w:color w:val="000000"/>
                <w:sz w:val="20"/>
                <w:lang w:val="en-US"/>
              </w:rPr>
            </w:pPr>
            <w:r w:rsidRPr="00501C07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Evidence: Details of activities implemented. </w:t>
            </w:r>
          </w:p>
        </w:tc>
      </w:tr>
      <w:tr w:rsidR="00921C3E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A0D" w:rsidRDefault="00355F0F" w:rsidP="00355F0F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240"/>
              <w:textAlignment w:val="center"/>
              <w:rPr>
                <w:rFonts w:cs="Arial"/>
                <w:color w:val="000000"/>
                <w:sz w:val="20"/>
                <w:lang w:val="en-US"/>
              </w:rPr>
            </w:pPr>
            <w:r w:rsidRPr="00921C3E">
              <w:rPr>
                <w:rStyle w:val="Strong"/>
                <w:sz w:val="20"/>
              </w:rPr>
              <w:t xml:space="preserve">Electronic waste </w:t>
            </w:r>
            <w:r>
              <w:rPr>
                <w:rStyle w:val="Strong"/>
                <w:sz w:val="20"/>
              </w:rPr>
              <w:t>recycling</w:t>
            </w:r>
            <w:r w:rsidR="00983585">
              <w:rPr>
                <w:rStyle w:val="Strong"/>
                <w:sz w:val="20"/>
              </w:rPr>
              <w:t>.</w:t>
            </w:r>
            <w:r w:rsidRPr="00921C3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EE11FD">
              <w:rPr>
                <w:rFonts w:cs="Arial"/>
                <w:color w:val="000000"/>
                <w:sz w:val="20"/>
                <w:lang w:val="en-US"/>
              </w:rPr>
              <w:t xml:space="preserve">The </w:t>
            </w:r>
            <w:r w:rsidR="00921C3E" w:rsidRPr="00921C3E">
              <w:rPr>
                <w:rFonts w:cs="Arial"/>
                <w:color w:val="000000"/>
                <w:sz w:val="20"/>
                <w:lang w:val="en-US"/>
              </w:rPr>
              <w:t xml:space="preserve">school </w:t>
            </w:r>
            <w:r w:rsidR="001A160A">
              <w:rPr>
                <w:rFonts w:cs="Arial"/>
                <w:color w:val="000000"/>
                <w:sz w:val="20"/>
                <w:lang w:val="en-US"/>
              </w:rPr>
              <w:t>has</w:t>
            </w:r>
            <w:r w:rsidR="00921C3E" w:rsidRPr="00921C3E">
              <w:rPr>
                <w:rFonts w:cs="Arial"/>
                <w:color w:val="000000"/>
                <w:sz w:val="20"/>
                <w:lang w:val="en-US"/>
              </w:rPr>
              <w:t xml:space="preserve"> commenced recycling unwanted electronic waste, such as computers, monitors, printers and </w:t>
            </w:r>
            <w:r w:rsidR="00983585">
              <w:rPr>
                <w:rFonts w:cs="Arial"/>
                <w:color w:val="000000"/>
                <w:sz w:val="20"/>
                <w:lang w:val="en-US"/>
              </w:rPr>
              <w:t>photocopiers</w:t>
            </w:r>
            <w:r w:rsidR="00921C3E" w:rsidRPr="00921C3E">
              <w:rPr>
                <w:rFonts w:cs="Arial"/>
                <w:color w:val="000000"/>
                <w:sz w:val="20"/>
                <w:lang w:val="en-US"/>
              </w:rPr>
              <w:t>. This can include selling the items, giving them to charity, utilising an electronic recycling contractor or facility and/or returning unwanted materials to</w:t>
            </w:r>
            <w:r w:rsidR="00D25A0D">
              <w:rPr>
                <w:rFonts w:cs="Arial"/>
                <w:color w:val="000000"/>
                <w:sz w:val="20"/>
                <w:lang w:val="en-US"/>
              </w:rPr>
              <w:t xml:space="preserve"> the purchaser for recycling.  </w:t>
            </w:r>
          </w:p>
          <w:p w:rsidR="00921C3E" w:rsidRPr="00921C3E" w:rsidRDefault="00921C3E" w:rsidP="00EE11FD">
            <w:pPr>
              <w:suppressAutoHyphens/>
              <w:autoSpaceDE w:val="0"/>
              <w:autoSpaceDN w:val="0"/>
              <w:adjustRightInd w:val="0"/>
              <w:spacing w:before="57"/>
              <w:ind w:left="340"/>
              <w:textAlignment w:val="center"/>
              <w:rPr>
                <w:rFonts w:cs="Arial"/>
                <w:i/>
                <w:iCs/>
                <w:color w:val="000000"/>
                <w:sz w:val="20"/>
                <w:lang w:val="en-US"/>
              </w:rPr>
            </w:pPr>
            <w:r w:rsidRPr="00921C3E">
              <w:rPr>
                <w:rFonts w:cs="Arial"/>
                <w:i/>
                <w:iCs/>
                <w:color w:val="000000"/>
                <w:sz w:val="20"/>
                <w:lang w:val="en-US"/>
              </w:rPr>
              <w:t xml:space="preserve">Evidence: Details of what happens to unused electronic items. </w:t>
            </w:r>
          </w:p>
        </w:tc>
      </w:tr>
    </w:tbl>
    <w:p w:rsidR="00870CB8" w:rsidRPr="008C7CC5" w:rsidRDefault="00870CB8" w:rsidP="00921C3E">
      <w:pPr>
        <w:rPr>
          <w:b/>
        </w:rPr>
      </w:pPr>
    </w:p>
    <w:p w:rsidR="00870CB8" w:rsidRDefault="00870CB8"/>
    <w:p w:rsidR="00355F0F" w:rsidRDefault="00355F0F"/>
    <w:p w:rsidR="00983585" w:rsidRDefault="00983585"/>
    <w:p w:rsidR="00355F0F" w:rsidRDefault="00355F0F"/>
    <w:p w:rsidR="00EE11FD" w:rsidRDefault="00EE11FD"/>
    <w:p w:rsidR="00402B9F" w:rsidRDefault="00402B9F"/>
    <w:p w:rsidR="00402B9F" w:rsidRDefault="00402B9F"/>
    <w:p w:rsidR="00355F0F" w:rsidRDefault="00355F0F"/>
    <w:p w:rsidR="00870CB8" w:rsidRDefault="00870CB8"/>
    <w:sectPr w:rsidR="00870CB8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7A"/>
    <w:multiLevelType w:val="hybridMultilevel"/>
    <w:tmpl w:val="74CC36CA"/>
    <w:lvl w:ilvl="0" w:tplc="8DDCBEA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54"/>
    <w:multiLevelType w:val="hybridMultilevel"/>
    <w:tmpl w:val="6A1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B6E"/>
    <w:multiLevelType w:val="hybridMultilevel"/>
    <w:tmpl w:val="955437E4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6E1F98"/>
    <w:multiLevelType w:val="hybridMultilevel"/>
    <w:tmpl w:val="9B045486"/>
    <w:lvl w:ilvl="0" w:tplc="8DDCBEA0">
      <w:start w:val="1"/>
      <w:numFmt w:val="decimal"/>
      <w:lvlText w:val="%1."/>
      <w:lvlJc w:val="left"/>
      <w:pPr>
        <w:ind w:left="10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E86122A"/>
    <w:multiLevelType w:val="hybridMultilevel"/>
    <w:tmpl w:val="08F28646"/>
    <w:lvl w:ilvl="0" w:tplc="A03462AE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6682"/>
    <w:multiLevelType w:val="hybridMultilevel"/>
    <w:tmpl w:val="1C6EF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06E3"/>
    <w:multiLevelType w:val="hybridMultilevel"/>
    <w:tmpl w:val="A6DE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4674A"/>
    <w:multiLevelType w:val="hybridMultilevel"/>
    <w:tmpl w:val="F6A49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33F0"/>
    <w:multiLevelType w:val="multilevel"/>
    <w:tmpl w:val="F92CCF2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5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2941"/>
    <w:multiLevelType w:val="hybridMultilevel"/>
    <w:tmpl w:val="B824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1811"/>
    <w:rsid w:val="000247E0"/>
    <w:rsid w:val="00030426"/>
    <w:rsid w:val="000531E8"/>
    <w:rsid w:val="00074EFC"/>
    <w:rsid w:val="000927F7"/>
    <w:rsid w:val="000C3D42"/>
    <w:rsid w:val="000C64C3"/>
    <w:rsid w:val="000E4B00"/>
    <w:rsid w:val="000F4E4B"/>
    <w:rsid w:val="00141E81"/>
    <w:rsid w:val="00155071"/>
    <w:rsid w:val="0015540D"/>
    <w:rsid w:val="00155F4C"/>
    <w:rsid w:val="00170C9F"/>
    <w:rsid w:val="0017114C"/>
    <w:rsid w:val="00172C62"/>
    <w:rsid w:val="001802BF"/>
    <w:rsid w:val="001A13C6"/>
    <w:rsid w:val="001A160A"/>
    <w:rsid w:val="001B08D8"/>
    <w:rsid w:val="001B55C8"/>
    <w:rsid w:val="001C3703"/>
    <w:rsid w:val="001C77EE"/>
    <w:rsid w:val="001E3B9E"/>
    <w:rsid w:val="002051C9"/>
    <w:rsid w:val="00206EE0"/>
    <w:rsid w:val="0020761C"/>
    <w:rsid w:val="002113F0"/>
    <w:rsid w:val="002608A7"/>
    <w:rsid w:val="00280A80"/>
    <w:rsid w:val="00286693"/>
    <w:rsid w:val="00296E98"/>
    <w:rsid w:val="002D4BF3"/>
    <w:rsid w:val="002F4B9C"/>
    <w:rsid w:val="003139BE"/>
    <w:rsid w:val="00317BFB"/>
    <w:rsid w:val="00320BE7"/>
    <w:rsid w:val="00355F0F"/>
    <w:rsid w:val="00361374"/>
    <w:rsid w:val="00386EE1"/>
    <w:rsid w:val="003A6A23"/>
    <w:rsid w:val="003B3F88"/>
    <w:rsid w:val="003C3C92"/>
    <w:rsid w:val="003C494A"/>
    <w:rsid w:val="003C6F7F"/>
    <w:rsid w:val="003D0A53"/>
    <w:rsid w:val="003E5FCC"/>
    <w:rsid w:val="003F47F0"/>
    <w:rsid w:val="00402B9F"/>
    <w:rsid w:val="00403A8B"/>
    <w:rsid w:val="00412483"/>
    <w:rsid w:val="004200EC"/>
    <w:rsid w:val="00427DB1"/>
    <w:rsid w:val="0044082A"/>
    <w:rsid w:val="004433B6"/>
    <w:rsid w:val="0046632E"/>
    <w:rsid w:val="004C01E1"/>
    <w:rsid w:val="004C673A"/>
    <w:rsid w:val="004D51EB"/>
    <w:rsid w:val="004F2108"/>
    <w:rsid w:val="004F4538"/>
    <w:rsid w:val="004F679C"/>
    <w:rsid w:val="00501C07"/>
    <w:rsid w:val="00505402"/>
    <w:rsid w:val="0053197E"/>
    <w:rsid w:val="005773BD"/>
    <w:rsid w:val="005778E8"/>
    <w:rsid w:val="0058448C"/>
    <w:rsid w:val="00590552"/>
    <w:rsid w:val="0059293B"/>
    <w:rsid w:val="005B02F4"/>
    <w:rsid w:val="005C07FD"/>
    <w:rsid w:val="005E5834"/>
    <w:rsid w:val="00620A3C"/>
    <w:rsid w:val="0062150B"/>
    <w:rsid w:val="00644030"/>
    <w:rsid w:val="00657432"/>
    <w:rsid w:val="0066021A"/>
    <w:rsid w:val="00677AD3"/>
    <w:rsid w:val="0068494F"/>
    <w:rsid w:val="00690A3D"/>
    <w:rsid w:val="006A2C90"/>
    <w:rsid w:val="006F74B8"/>
    <w:rsid w:val="007138D0"/>
    <w:rsid w:val="00726CD7"/>
    <w:rsid w:val="00755BBB"/>
    <w:rsid w:val="00756A38"/>
    <w:rsid w:val="00777221"/>
    <w:rsid w:val="007811C4"/>
    <w:rsid w:val="0079204A"/>
    <w:rsid w:val="00794106"/>
    <w:rsid w:val="007D7A75"/>
    <w:rsid w:val="00810539"/>
    <w:rsid w:val="00813A5D"/>
    <w:rsid w:val="00870CB8"/>
    <w:rsid w:val="008A2452"/>
    <w:rsid w:val="008C3F8E"/>
    <w:rsid w:val="008C7CC5"/>
    <w:rsid w:val="008D23F6"/>
    <w:rsid w:val="008E5545"/>
    <w:rsid w:val="0090460F"/>
    <w:rsid w:val="00921C3E"/>
    <w:rsid w:val="009346E0"/>
    <w:rsid w:val="00942DB4"/>
    <w:rsid w:val="00955627"/>
    <w:rsid w:val="009776FF"/>
    <w:rsid w:val="00983585"/>
    <w:rsid w:val="009D0867"/>
    <w:rsid w:val="009D5D6F"/>
    <w:rsid w:val="00A02C0F"/>
    <w:rsid w:val="00A339FE"/>
    <w:rsid w:val="00A52BBB"/>
    <w:rsid w:val="00A61299"/>
    <w:rsid w:val="00AA3BB6"/>
    <w:rsid w:val="00AB5B84"/>
    <w:rsid w:val="00AB5ECB"/>
    <w:rsid w:val="00AC6AF3"/>
    <w:rsid w:val="00AD0E38"/>
    <w:rsid w:val="00AE4B86"/>
    <w:rsid w:val="00AF578F"/>
    <w:rsid w:val="00B01132"/>
    <w:rsid w:val="00B07E07"/>
    <w:rsid w:val="00B131A7"/>
    <w:rsid w:val="00B2242C"/>
    <w:rsid w:val="00B51D22"/>
    <w:rsid w:val="00B52A37"/>
    <w:rsid w:val="00B57B07"/>
    <w:rsid w:val="00B6519F"/>
    <w:rsid w:val="00B67BA9"/>
    <w:rsid w:val="00B75F60"/>
    <w:rsid w:val="00BB63E4"/>
    <w:rsid w:val="00BE70C4"/>
    <w:rsid w:val="00C047BA"/>
    <w:rsid w:val="00C12A5D"/>
    <w:rsid w:val="00C164FD"/>
    <w:rsid w:val="00C3177D"/>
    <w:rsid w:val="00C33539"/>
    <w:rsid w:val="00C5054B"/>
    <w:rsid w:val="00C52BC9"/>
    <w:rsid w:val="00C62BA0"/>
    <w:rsid w:val="00C74ED8"/>
    <w:rsid w:val="00C774E8"/>
    <w:rsid w:val="00CA2469"/>
    <w:rsid w:val="00CA4292"/>
    <w:rsid w:val="00CB562C"/>
    <w:rsid w:val="00CE5FF1"/>
    <w:rsid w:val="00CF7208"/>
    <w:rsid w:val="00D25A0D"/>
    <w:rsid w:val="00D3050C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B04A7"/>
    <w:rsid w:val="00DF4D05"/>
    <w:rsid w:val="00E126BA"/>
    <w:rsid w:val="00E21B9E"/>
    <w:rsid w:val="00E43C50"/>
    <w:rsid w:val="00E75D2C"/>
    <w:rsid w:val="00E75F2D"/>
    <w:rsid w:val="00E839DB"/>
    <w:rsid w:val="00E83E4F"/>
    <w:rsid w:val="00ED2C9E"/>
    <w:rsid w:val="00ED7AD7"/>
    <w:rsid w:val="00EE00C3"/>
    <w:rsid w:val="00EE11FD"/>
    <w:rsid w:val="00F12662"/>
    <w:rsid w:val="00F13FE9"/>
    <w:rsid w:val="00F55D2F"/>
    <w:rsid w:val="00F71DAE"/>
    <w:rsid w:val="00F75525"/>
    <w:rsid w:val="00F93B42"/>
    <w:rsid w:val="00F97BAB"/>
    <w:rsid w:val="00FC3A13"/>
    <w:rsid w:val="00FD0ACF"/>
    <w:rsid w:val="00FD66AC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96DF0F-BC1E-4362-A1C7-233C19C1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uiPriority w:val="99"/>
    <w:unhideWhenUsed/>
    <w:rsid w:val="0068494F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51D2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1D22"/>
    <w:pPr>
      <w:spacing w:before="100" w:beforeAutospacing="1" w:after="100" w:afterAutospacing="1"/>
    </w:pPr>
    <w:rPr>
      <w:rFonts w:ascii="Times New Roman" w:hAnsi="Times New Roman"/>
      <w:szCs w:val="24"/>
      <w:lang w:val="en-AU"/>
    </w:rPr>
  </w:style>
  <w:style w:type="character" w:styleId="Emphasis">
    <w:name w:val="Emphasis"/>
    <w:uiPriority w:val="20"/>
    <w:qFormat/>
    <w:rsid w:val="00B51D2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2019-11-04T04:00:00Z</dcterms:created>
  <dcterms:modified xsi:type="dcterms:W3CDTF">2019-11-04T04:00:00Z</dcterms:modified>
</cp:coreProperties>
</file>